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93D2E29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E8168A">
        <w:rPr>
          <w:sz w:val="22"/>
          <w:szCs w:val="22"/>
        </w:rPr>
        <w:t>September 9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29B95E3C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E8168A">
        <w:rPr>
          <w:sz w:val="22"/>
          <w:szCs w:val="22"/>
        </w:rPr>
        <w:t>August 12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5E39F8EC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E8168A">
        <w:rPr>
          <w:sz w:val="22"/>
          <w:szCs w:val="22"/>
        </w:rPr>
        <w:t>August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3F714EDD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4B787964" w14:textId="1C302EE2" w:rsidR="00854D18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770520B1" w14:textId="20B5EA49" w:rsidR="00E13942" w:rsidRDefault="00513F8F" w:rsidP="0040007A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C12835">
        <w:rPr>
          <w:sz w:val="22"/>
          <w:szCs w:val="22"/>
        </w:rPr>
        <w:t>Discussion and any action on Louisiana Compliance Questionnaire</w:t>
      </w:r>
      <w:bookmarkStart w:id="0" w:name="_GoBack"/>
      <w:bookmarkEnd w:id="0"/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DE49FB7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facility(ies),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</w:t>
      </w:r>
      <w:r w:rsidR="00A11559">
        <w:rPr>
          <w:sz w:val="22"/>
          <w:szCs w:val="22"/>
        </w:rPr>
        <w:t xml:space="preserve">final payment </w:t>
      </w:r>
      <w:r w:rsidR="00B006B4">
        <w:rPr>
          <w:sz w:val="22"/>
          <w:szCs w:val="22"/>
        </w:rPr>
        <w:t>to VTS room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 xml:space="preserve">Discussion and any action on Atchafalaya River Channel including dredging and sediment management, equipment purchases, reports, survey services, consulting services, economic study(ies),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5A52C36F" w:rsidR="008E7FEA" w:rsidRDefault="008E7FEA" w:rsidP="00E8168A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7D1E12">
        <w:rPr>
          <w:sz w:val="22"/>
          <w:szCs w:val="22"/>
        </w:rPr>
        <w:t xml:space="preserve">, </w:t>
      </w:r>
      <w:r w:rsidR="00E8168A">
        <w:rPr>
          <w:sz w:val="22"/>
          <w:szCs w:val="22"/>
        </w:rPr>
        <w:t xml:space="preserve">including authorization to award, certificate of compliance with bid law, and notice to proceed on Phase II </w:t>
      </w:r>
      <w:r w:rsidR="00634DC3">
        <w:rPr>
          <w:sz w:val="22"/>
          <w:szCs w:val="22"/>
        </w:rPr>
        <w:t>on aggregate area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57F2" w14:textId="77777777" w:rsidR="004A75D0" w:rsidRDefault="004A75D0">
      <w:r>
        <w:separator/>
      </w:r>
    </w:p>
  </w:endnote>
  <w:endnote w:type="continuationSeparator" w:id="0">
    <w:p w14:paraId="2278C9B0" w14:textId="77777777" w:rsidR="004A75D0" w:rsidRDefault="004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2B89" w14:textId="77777777" w:rsidR="004A75D0" w:rsidRDefault="004A75D0">
      <w:r>
        <w:separator/>
      </w:r>
    </w:p>
  </w:footnote>
  <w:footnote w:type="continuationSeparator" w:id="0">
    <w:p w14:paraId="5993A897" w14:textId="77777777" w:rsidR="004A75D0" w:rsidRDefault="004A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835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69FE-1BAD-445B-92AB-91BCE525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2019-09-05T16:06:00Z</dcterms:created>
  <dcterms:modified xsi:type="dcterms:W3CDTF">2019-09-05T16:32:00Z</dcterms:modified>
</cp:coreProperties>
</file>